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 xml:space="preserve">Информация о состоянии окружающей среды и об использовании природных ресурсов на территории сельского поселения </w:t>
      </w:r>
      <w:proofErr w:type="gramStart"/>
      <w:r w:rsidR="001C5CA3">
        <w:rPr>
          <w:rStyle w:val="a4"/>
          <w:rFonts w:ascii="Arial" w:hAnsi="Arial" w:cs="Arial"/>
          <w:color w:val="1E1D1E"/>
          <w:sz w:val="23"/>
          <w:szCs w:val="23"/>
        </w:rPr>
        <w:t>Красноармейское</w:t>
      </w:r>
      <w:proofErr w:type="gramEnd"/>
      <w:r>
        <w:rPr>
          <w:rStyle w:val="a4"/>
          <w:rFonts w:ascii="Arial" w:hAnsi="Arial" w:cs="Arial"/>
          <w:color w:val="1E1D1E"/>
          <w:sz w:val="23"/>
          <w:szCs w:val="23"/>
        </w:rPr>
        <w:t xml:space="preserve"> Терского муниципального района КБР на 01.01.2025</w:t>
      </w:r>
      <w:r w:rsidR="001C5CA3">
        <w:rPr>
          <w:rStyle w:val="a4"/>
          <w:rFonts w:ascii="Arial" w:hAnsi="Arial" w:cs="Arial"/>
          <w:color w:val="1E1D1E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1E1D1E"/>
          <w:sz w:val="23"/>
          <w:szCs w:val="23"/>
        </w:rPr>
        <w:t>г.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В целом экологическая ситуация на территории сельского поселения </w:t>
      </w:r>
      <w:proofErr w:type="gramStart"/>
      <w:r w:rsidR="001C5CA3">
        <w:rPr>
          <w:rFonts w:ascii="Arial" w:hAnsi="Arial" w:cs="Arial"/>
          <w:color w:val="1E1D1E"/>
          <w:sz w:val="23"/>
          <w:szCs w:val="23"/>
        </w:rPr>
        <w:t>Красноармейское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благоприятная.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Основными источниками загрязнения окружающей среды в поселении являются автотранспорт, твёрдые коммунальные отходы (далее ТКО).  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Решена проблема сбора и утилизации бытовых отходов. На территории сельс</w:t>
      </w:r>
      <w:r w:rsidR="00D6080A">
        <w:rPr>
          <w:rFonts w:ascii="Arial" w:hAnsi="Arial" w:cs="Arial"/>
          <w:color w:val="1E1D1E"/>
          <w:sz w:val="23"/>
          <w:szCs w:val="23"/>
        </w:rPr>
        <w:t>кого поселения сбор ТКО в контейнеры</w:t>
      </w:r>
      <w:r>
        <w:rPr>
          <w:rFonts w:ascii="Arial" w:hAnsi="Arial" w:cs="Arial"/>
          <w:color w:val="1E1D1E"/>
          <w:sz w:val="23"/>
          <w:szCs w:val="23"/>
        </w:rPr>
        <w:t>.  Вывоз твердых коммунальных отходов осуществляет региональный оператор.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Утвержден реестр контейнерных площадок на территории сельского поселения </w:t>
      </w:r>
      <w:proofErr w:type="gramStart"/>
      <w:r w:rsidR="001C5CA3">
        <w:rPr>
          <w:rFonts w:ascii="Arial" w:hAnsi="Arial" w:cs="Arial"/>
          <w:color w:val="1E1D1E"/>
          <w:sz w:val="23"/>
          <w:szCs w:val="23"/>
        </w:rPr>
        <w:t>Красноармейское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Автодорожная сеть на территории поселения представлена, участками регионального значения, межмуниципального значения и сетью автодорог общего пользования местного значения.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Действующих объектов специального назначения – скотомогильников и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биозахоронений</w:t>
      </w:r>
      <w:proofErr w:type="spellEnd"/>
      <w:r>
        <w:rPr>
          <w:rFonts w:ascii="Arial" w:hAnsi="Arial" w:cs="Arial"/>
          <w:color w:val="1E1D1E"/>
          <w:sz w:val="23"/>
          <w:szCs w:val="23"/>
        </w:rPr>
        <w:t>, а также полигонов твердых коммунальных отходов на территории сельского поселения не имеется.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На территории 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сельского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поселении имеется 1 водонапорная башня, снабжающая население чистой питьевой водой. Некоторая часть населения используют скважины, колодцы для полива собственных приусадебных участков. Запасов подземных вод достаточно для обеспечения чистой водой жителей населения.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proofErr w:type="gramStart"/>
      <w:r>
        <w:rPr>
          <w:rFonts w:ascii="Arial" w:hAnsi="Arial" w:cs="Arial"/>
          <w:color w:val="1E1D1E"/>
          <w:sz w:val="23"/>
          <w:szCs w:val="23"/>
        </w:rPr>
        <w:t xml:space="preserve">Для решения проблем по благоустройству населенного пункта поселения решением Совета депутатов сельского поселения </w:t>
      </w:r>
      <w:r w:rsidR="001C5CA3">
        <w:rPr>
          <w:rFonts w:ascii="Arial" w:hAnsi="Arial" w:cs="Arial"/>
          <w:color w:val="1E1D1E"/>
          <w:sz w:val="23"/>
          <w:szCs w:val="23"/>
        </w:rPr>
        <w:t>Красноармейское</w:t>
      </w:r>
      <w:r>
        <w:rPr>
          <w:rFonts w:ascii="Arial" w:hAnsi="Arial" w:cs="Arial"/>
          <w:color w:val="1E1D1E"/>
          <w:sz w:val="23"/>
          <w:szCs w:val="23"/>
        </w:rPr>
        <w:t xml:space="preserve"> от 1</w:t>
      </w:r>
      <w:r w:rsidR="001C5CA3">
        <w:rPr>
          <w:rFonts w:ascii="Arial" w:hAnsi="Arial" w:cs="Arial"/>
          <w:color w:val="1E1D1E"/>
          <w:sz w:val="23"/>
          <w:szCs w:val="23"/>
        </w:rPr>
        <w:t>3</w:t>
      </w:r>
      <w:r>
        <w:rPr>
          <w:rFonts w:ascii="Arial" w:hAnsi="Arial" w:cs="Arial"/>
          <w:color w:val="1E1D1E"/>
          <w:sz w:val="23"/>
          <w:szCs w:val="23"/>
        </w:rPr>
        <w:t>.0</w:t>
      </w:r>
      <w:r w:rsidR="001C5CA3">
        <w:rPr>
          <w:rFonts w:ascii="Arial" w:hAnsi="Arial" w:cs="Arial"/>
          <w:color w:val="1E1D1E"/>
          <w:sz w:val="23"/>
          <w:szCs w:val="23"/>
        </w:rPr>
        <w:t>1.2023 г. № 45</w:t>
      </w:r>
      <w:r>
        <w:rPr>
          <w:rFonts w:ascii="Arial" w:hAnsi="Arial" w:cs="Arial"/>
          <w:color w:val="1E1D1E"/>
          <w:sz w:val="23"/>
          <w:szCs w:val="23"/>
        </w:rPr>
        <w:t xml:space="preserve"> утверждены правила благоустройства территории сельского поселения </w:t>
      </w:r>
      <w:r w:rsidR="001C5CA3">
        <w:rPr>
          <w:rFonts w:ascii="Arial" w:hAnsi="Arial" w:cs="Arial"/>
          <w:color w:val="1E1D1E"/>
          <w:sz w:val="23"/>
          <w:szCs w:val="23"/>
        </w:rPr>
        <w:t>Красноармейское</w:t>
      </w:r>
      <w:r>
        <w:rPr>
          <w:rFonts w:ascii="Arial" w:hAnsi="Arial" w:cs="Arial"/>
          <w:color w:val="1E1D1E"/>
          <w:sz w:val="23"/>
          <w:szCs w:val="23"/>
        </w:rPr>
        <w:t xml:space="preserve">, а </w:t>
      </w:r>
      <w:r w:rsidR="001C5CA3">
        <w:rPr>
          <w:rFonts w:ascii="Arial" w:hAnsi="Arial" w:cs="Arial"/>
          <w:color w:val="1E1D1E"/>
          <w:sz w:val="23"/>
          <w:szCs w:val="23"/>
        </w:rPr>
        <w:t>также принято Постановление от 11</w:t>
      </w:r>
      <w:r>
        <w:rPr>
          <w:rFonts w:ascii="Arial" w:hAnsi="Arial" w:cs="Arial"/>
          <w:color w:val="1E1D1E"/>
          <w:sz w:val="23"/>
          <w:szCs w:val="23"/>
        </w:rPr>
        <w:t>.0</w:t>
      </w:r>
      <w:r w:rsidR="001C5CA3">
        <w:rPr>
          <w:rFonts w:ascii="Arial" w:hAnsi="Arial" w:cs="Arial"/>
          <w:color w:val="1E1D1E"/>
          <w:sz w:val="23"/>
          <w:szCs w:val="23"/>
        </w:rPr>
        <w:t>1</w:t>
      </w:r>
      <w:r>
        <w:rPr>
          <w:rFonts w:ascii="Arial" w:hAnsi="Arial" w:cs="Arial"/>
          <w:color w:val="1E1D1E"/>
          <w:sz w:val="23"/>
          <w:szCs w:val="23"/>
        </w:rPr>
        <w:t>.202</w:t>
      </w:r>
      <w:r w:rsidR="001C5CA3">
        <w:rPr>
          <w:rFonts w:ascii="Arial" w:hAnsi="Arial" w:cs="Arial"/>
          <w:color w:val="1E1D1E"/>
          <w:sz w:val="23"/>
          <w:szCs w:val="23"/>
        </w:rPr>
        <w:t xml:space="preserve">4 </w:t>
      </w:r>
      <w:r>
        <w:rPr>
          <w:rFonts w:ascii="Arial" w:hAnsi="Arial" w:cs="Arial"/>
          <w:color w:val="1E1D1E"/>
          <w:sz w:val="23"/>
          <w:szCs w:val="23"/>
        </w:rPr>
        <w:t>г. №</w:t>
      </w:r>
      <w:r w:rsidR="001C5CA3">
        <w:rPr>
          <w:rFonts w:ascii="Arial" w:hAnsi="Arial" w:cs="Arial"/>
          <w:color w:val="1E1D1E"/>
          <w:sz w:val="23"/>
          <w:szCs w:val="23"/>
        </w:rPr>
        <w:t xml:space="preserve"> 4-п</w:t>
      </w:r>
      <w:r>
        <w:rPr>
          <w:rFonts w:ascii="Arial" w:hAnsi="Arial" w:cs="Arial"/>
          <w:color w:val="1E1D1E"/>
          <w:sz w:val="23"/>
          <w:szCs w:val="23"/>
        </w:rPr>
        <w:t xml:space="preserve"> «Об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с.п</w:t>
      </w:r>
      <w:proofErr w:type="spellEnd"/>
      <w:r>
        <w:rPr>
          <w:rFonts w:ascii="Arial" w:hAnsi="Arial" w:cs="Arial"/>
          <w:color w:val="1E1D1E"/>
          <w:sz w:val="23"/>
          <w:szCs w:val="23"/>
        </w:rPr>
        <w:t>.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</w:t>
      </w:r>
      <w:r w:rsidR="001C5CA3">
        <w:rPr>
          <w:rFonts w:ascii="Arial" w:hAnsi="Arial" w:cs="Arial"/>
          <w:color w:val="1E1D1E"/>
          <w:sz w:val="23"/>
          <w:szCs w:val="23"/>
        </w:rPr>
        <w:t>Красноармейское</w:t>
      </w:r>
      <w:r>
        <w:rPr>
          <w:rFonts w:ascii="Arial" w:hAnsi="Arial" w:cs="Arial"/>
          <w:color w:val="1E1D1E"/>
          <w:sz w:val="23"/>
          <w:szCs w:val="23"/>
        </w:rPr>
        <w:t>».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Вышеуказанный нормативный правовой акт размещен на сайте сельского поселения «</w:t>
      </w:r>
      <w:proofErr w:type="gramStart"/>
      <w:r w:rsidR="001C5CA3">
        <w:rPr>
          <w:rFonts w:ascii="Arial" w:hAnsi="Arial" w:cs="Arial"/>
          <w:color w:val="1E1D1E"/>
          <w:sz w:val="23"/>
          <w:szCs w:val="23"/>
        </w:rPr>
        <w:t>Красноармейское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в информационно-телекоммуникационной сети Интернет.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lastRenderedPageBreak/>
        <w:t>Администрацией сельского поселения проводятся месячники по уборке территорий поселения весной и осенью.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Уважаемые жители сельского поселения </w:t>
      </w:r>
      <w:proofErr w:type="gramStart"/>
      <w:r w:rsidR="001C5CA3">
        <w:rPr>
          <w:rFonts w:ascii="Arial" w:hAnsi="Arial" w:cs="Arial"/>
          <w:color w:val="1E1D1E"/>
          <w:sz w:val="23"/>
          <w:szCs w:val="23"/>
        </w:rPr>
        <w:t>Красноармейское</w:t>
      </w:r>
      <w:proofErr w:type="gramEnd"/>
      <w:r>
        <w:rPr>
          <w:rFonts w:ascii="Arial" w:hAnsi="Arial" w:cs="Arial"/>
          <w:color w:val="1E1D1E"/>
          <w:sz w:val="23"/>
          <w:szCs w:val="23"/>
        </w:rPr>
        <w:t>!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Давайте защитим природу. Чтобы жить долго. Чтобы быть сильными и здоровыми. Любите животных, защищайте их, посадите деревья и цветы, кормите птиц, не загрязняйте окружающую среду!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 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b/>
          <w:bCs/>
          <w:color w:val="1E1D1E"/>
          <w:sz w:val="23"/>
          <w:szCs w:val="23"/>
        </w:rPr>
        <w:t>Об обращении с отходами производства и потребления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В соответствии с Федеральным законом от 24.06.1998 года № 89-ФЗ «Об отходах производства и потребления» на территории Кабардино-Балкарской Республики введена новая система обращения с твердыми коммунальными отходами (ТКО), при которой обращение с ТКО осуществляется по договорам с региональным оператором.</w:t>
      </w:r>
      <w:r>
        <w:rPr>
          <w:rFonts w:ascii="Arial" w:hAnsi="Arial" w:cs="Arial"/>
          <w:color w:val="1E1D1E"/>
          <w:sz w:val="23"/>
          <w:szCs w:val="23"/>
        </w:rPr>
        <w:br/>
        <w:t xml:space="preserve">На основании конкурсного отбора и 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в соответствии с Соглашениями об организации деятельности по обращению с твердыми коммунальными отходами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на территории Кабардино-Балкарской Республики от 28.04.2018 года статус регионального оператора по обращению с твердыми коммунальными отходами присвоен Обществу с ограниченной ответственностью «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Экологистика</w:t>
      </w:r>
      <w:proofErr w:type="spellEnd"/>
      <w:r>
        <w:rPr>
          <w:rFonts w:ascii="Arial" w:hAnsi="Arial" w:cs="Arial"/>
          <w:color w:val="1E1D1E"/>
          <w:sz w:val="23"/>
          <w:szCs w:val="23"/>
        </w:rPr>
        <w:t>».</w:t>
      </w:r>
      <w:r>
        <w:rPr>
          <w:rFonts w:ascii="Arial" w:hAnsi="Arial" w:cs="Arial"/>
          <w:color w:val="1E1D1E"/>
          <w:sz w:val="23"/>
          <w:szCs w:val="23"/>
        </w:rPr>
        <w:br/>
      </w:r>
      <w:proofErr w:type="gramStart"/>
      <w:r>
        <w:rPr>
          <w:rFonts w:ascii="Arial" w:hAnsi="Arial" w:cs="Arial"/>
          <w:color w:val="1E1D1E"/>
          <w:sz w:val="23"/>
          <w:szCs w:val="23"/>
        </w:rPr>
        <w:t xml:space="preserve">Переход на новую систему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тарифообразования</w:t>
      </w:r>
      <w:proofErr w:type="spellEnd"/>
      <w:r>
        <w:rPr>
          <w:rFonts w:ascii="Arial" w:hAnsi="Arial" w:cs="Arial"/>
          <w:color w:val="1E1D1E"/>
          <w:sz w:val="23"/>
          <w:szCs w:val="23"/>
        </w:rPr>
        <w:t xml:space="preserve"> в сфере обращения с ТКО Федеральный закон от 29.12.2014 № 458-ФЗ «О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(в ред. от 28.12.2016) определил новую систему регулирования деятельности в области обращения с твердыми коммунальными отходами.</w:t>
      </w:r>
      <w:proofErr w:type="gramEnd"/>
      <w:r>
        <w:rPr>
          <w:rFonts w:ascii="Arial" w:hAnsi="Arial" w:cs="Arial"/>
          <w:color w:val="1E1D1E"/>
          <w:sz w:val="23"/>
          <w:szCs w:val="23"/>
        </w:rPr>
        <w:br/>
      </w:r>
      <w:proofErr w:type="gramStart"/>
      <w:r>
        <w:rPr>
          <w:rFonts w:ascii="Arial" w:hAnsi="Arial" w:cs="Arial"/>
          <w:color w:val="1E1D1E"/>
          <w:sz w:val="23"/>
          <w:szCs w:val="23"/>
        </w:rPr>
        <w:t>Согласно статье 14 Федерального закона «Об общих принципах организации местного самоуправления в Российской Федерации» от 06.10.2003 г. N 131-ФЗ и статье 8 Федерального закона "Об отходах производства и потребления" от 24.06.1998 г. N 89-ФЗ организация деятельности по сбору (в том числе раздельному сбору) твердых коммунальных отходов на территориях соответствующих поселений относится к полномочиям органов местного самоуправления муниципальных районов, городских поселений</w:t>
      </w:r>
      <w:proofErr w:type="gramEnd"/>
      <w:r>
        <w:rPr>
          <w:rFonts w:ascii="Arial" w:hAnsi="Arial" w:cs="Arial"/>
          <w:color w:val="1E1D1E"/>
          <w:sz w:val="23"/>
          <w:szCs w:val="23"/>
        </w:rPr>
        <w:t>, городских округов.</w:t>
      </w:r>
      <w:r>
        <w:rPr>
          <w:rFonts w:ascii="Arial" w:hAnsi="Arial" w:cs="Arial"/>
          <w:color w:val="1E1D1E"/>
          <w:sz w:val="23"/>
          <w:szCs w:val="23"/>
        </w:rPr>
        <w:br/>
      </w:r>
      <w:proofErr w:type="gramStart"/>
      <w:r>
        <w:rPr>
          <w:rFonts w:ascii="Arial" w:hAnsi="Arial" w:cs="Arial"/>
          <w:color w:val="1E1D1E"/>
          <w:sz w:val="23"/>
          <w:szCs w:val="23"/>
        </w:rPr>
        <w:t>Бремя содержания контейнерных площадок, специальных площадок для складирования крупногабаритных отходов и территории, прилегающей к месту погрузки твердых коммунальных отходов, не входящих в состав общего имущества собственников помещений в многоквартирных домах, несут собственники земельного участка, на котором расположены такие площадки и территория (п. 13 Постановления Правительства РФ от 12 ноября 2016 г. № 1156 “Об обращении с твердыми коммунальными отходами и внесении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изменения в постановление Правительства 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Российской Федерации от 25 августа 2008 г. № 641”).</w:t>
      </w:r>
      <w:proofErr w:type="gramEnd"/>
      <w:r>
        <w:rPr>
          <w:rFonts w:ascii="Arial" w:hAnsi="Arial" w:cs="Arial"/>
          <w:color w:val="1E1D1E"/>
          <w:sz w:val="23"/>
          <w:szCs w:val="23"/>
        </w:rPr>
        <w:t> </w:t>
      </w:r>
      <w:r>
        <w:rPr>
          <w:rFonts w:ascii="Arial" w:hAnsi="Arial" w:cs="Arial"/>
          <w:color w:val="1E1D1E"/>
          <w:sz w:val="23"/>
          <w:szCs w:val="23"/>
        </w:rPr>
        <w:br/>
        <w:t>Таким образом, обязанность по организации мест накопления мусора (контейнерных площадок, специальных площадок для складирования крупногабаритных отходов) возложена на органы местного самоуправления района.</w:t>
      </w:r>
      <w:r>
        <w:rPr>
          <w:rFonts w:ascii="Arial" w:hAnsi="Arial" w:cs="Arial"/>
          <w:color w:val="1E1D1E"/>
          <w:sz w:val="23"/>
          <w:szCs w:val="23"/>
        </w:rPr>
        <w:br/>
        <w:t>Места накопления мусора должны быть организованы в соответствии с Санитарными правилами и нормами СанПиН 42-128-4690-88 "Санитарные правила содержания территорий населенных мест" (утв. Минздравом СССР 5 августа 1988 г. N 4690-88).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 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b/>
          <w:bCs/>
          <w:color w:val="1E1D1E"/>
          <w:sz w:val="23"/>
          <w:szCs w:val="23"/>
        </w:rPr>
        <w:t>Информация по вопросам обращения с отходами производства и потребления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lastRenderedPageBreak/>
        <w:t>Уважаемые жители!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proofErr w:type="gramStart"/>
      <w:r>
        <w:rPr>
          <w:rFonts w:ascii="Arial" w:hAnsi="Arial" w:cs="Arial"/>
          <w:color w:val="1E1D1E"/>
          <w:sz w:val="23"/>
          <w:szCs w:val="23"/>
        </w:rPr>
        <w:t>В соответствии со статьей 1 Федерального закона от 24 июня 1998 г. № 89-ФЗ «Об отходах производства и потребления» определено, что «Твердые коммунальные отходы (ТКО) – это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нужд».</w:t>
      </w:r>
      <w:proofErr w:type="gramEnd"/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Таким образом, ТКО – это повседневный бытовой мусор, который необходимо складировать в специализированные контейнеры, установленные на площадках накопления отходов, либо используемые для индивидуального накопления.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Правила обращения с ТКО утверждены постановлением Правительства Российской Федерации от 12 ноября 2016 г. №1156, согласно данных 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правил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потребители осуществляют складирование твердых коммунальных отходов в местах (площадках) накопления твердых коммунальных отходов в контейнеры, расположенные в мусороприемных камерах или на контейнерных площадках.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Помимо ТКО на площадках накопления отходов возможно складирование крупногабаритных отходов (КГО), которые должны складироваться в отдельные бункеры, либо на площадке, исключая смешивание с иными ТКО.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Установлено, что «КГО — это ТКО (мебель, бытовая техника, отходы от текущего ремонта жилых помещений и др.), размер которых не позволяет осуществить их складирование в контейнерах».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И ТКО, и КГО подлежат вывозу региональным оператором в рамках установленного единого тарифа на услугу по обращению с ТКО. При этом стоит напомнить, что строительные отходы, образованные при капитальном ремонте жилых помещений (арматура, бетон, кирпичи и т.п.) в тариф не включены и не входят в зону ответственности регионального оператора. Для вывоза строительных отходов собственник обязан заключать отдельный договор с региональным оператором.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Также вывозу региональным оператором подлежит и зола, образуемая в индивидуальных жилых домах, оборудованных печным отоплением, высыпать ее возле индивидуальных жилых домов, на проезжую часть дороги, тротуары запрещено. При этом согласно п.81 Правил противопожарного режима в РФ, утвержденных постановлением Правительства Российской Федерации от 16 сентября 2020 г. №1479, установлено, что зола и шлак, выгребаемые из топок, должны быть залиты водой и удалены в специально отведенное для них место. Запрещается складировать горящие, раскаленные или горячие отходы, которые могут причинить вред жизни и здоровью лиц, осуществляющих погрузку золы, повредить мусоровозы или нарушить режим работы объектов размещения отходов.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b/>
          <w:bCs/>
          <w:color w:val="1E1D1E"/>
          <w:sz w:val="23"/>
          <w:szCs w:val="23"/>
        </w:rPr>
        <w:t>Порядок организации сбора и накопления отработанных ртутьсодержащих ламп у потребителей</w:t>
      </w:r>
    </w:p>
    <w:p w:rsidR="001C5CA3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b/>
          <w:bCs/>
          <w:color w:val="1E1D1E"/>
          <w:sz w:val="23"/>
          <w:szCs w:val="23"/>
        </w:rPr>
      </w:pPr>
      <w:r>
        <w:rPr>
          <w:rFonts w:ascii="Arial" w:hAnsi="Arial" w:cs="Arial"/>
          <w:b/>
          <w:bCs/>
          <w:color w:val="1E1D1E"/>
          <w:sz w:val="23"/>
          <w:szCs w:val="23"/>
        </w:rPr>
        <w:t>Чем опасна ртуть и ртутьсодержащие лампы?</w:t>
      </w:r>
      <w:r>
        <w:rPr>
          <w:rFonts w:ascii="Arial" w:hAnsi="Arial" w:cs="Arial"/>
          <w:color w:val="1E1D1E"/>
          <w:sz w:val="23"/>
          <w:szCs w:val="23"/>
        </w:rPr>
        <w:br/>
        <w:t>Ртуть и ртутьсодержащие источники света активно используются в быту населением и на предприятиях. В сравнении с лампами накаливания их коэффициент полезного действия значительно выше, а спектр излучения – естественнее. Применение ртутных ламп требует их надлежащего хранения, подключения и утилизации. Неосторожное обращение с такими изделиями может составлять серьёзную угрозу для окружающей среды в целом, здоровья человека и животных в частности.</w:t>
      </w:r>
      <w:r>
        <w:rPr>
          <w:rFonts w:ascii="Arial" w:hAnsi="Arial" w:cs="Arial"/>
          <w:color w:val="1E1D1E"/>
          <w:sz w:val="23"/>
          <w:szCs w:val="23"/>
        </w:rPr>
        <w:br/>
        <w:t xml:space="preserve">Ртутные лампы содержат 3-5 мг ртути каждая, поэтому отнесены к отходам 1 класса опасности, наиболее высокой категории опасности. Внутри изделия токсичное </w:t>
      </w:r>
      <w:r>
        <w:rPr>
          <w:rFonts w:ascii="Arial" w:hAnsi="Arial" w:cs="Arial"/>
          <w:color w:val="1E1D1E"/>
          <w:sz w:val="23"/>
          <w:szCs w:val="23"/>
        </w:rPr>
        <w:lastRenderedPageBreak/>
        <w:t>вещество находится в виде паров, поэтому способно моментально проникать в человеческий организм. В случае повреждения одна ртутная лампа загрязняет 6 мᶾ воздуха. При этом 80% испарений задерживается в организме человека.</w:t>
      </w:r>
      <w:r>
        <w:rPr>
          <w:rFonts w:ascii="Arial" w:hAnsi="Arial" w:cs="Arial"/>
          <w:color w:val="1E1D1E"/>
          <w:sz w:val="23"/>
          <w:szCs w:val="23"/>
        </w:rPr>
        <w:br/>
        <w:t>Особую опасность могут нести загрязненные ртутью почва, водные объекты, которые в течение десятков лет могут быть источником выделения паров ртути.</w:t>
      </w:r>
      <w:r>
        <w:rPr>
          <w:rFonts w:ascii="Arial" w:hAnsi="Arial" w:cs="Arial"/>
          <w:color w:val="1E1D1E"/>
          <w:sz w:val="23"/>
          <w:szCs w:val="23"/>
        </w:rPr>
        <w:br/>
        <w:t xml:space="preserve">Сильнее всего к ртутным отравлениям чувствительны женщины и дети. К числу органов, на которые ртуть негативно воздействует, относятся центральная нервная система, почки и печень, лёгкие, 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сердечно-сосудистый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аппарат, мышцы. Отравление ртутью становится причиной врождённых уро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дств пл</w:t>
      </w:r>
      <w:proofErr w:type="gramEnd"/>
      <w:r>
        <w:rPr>
          <w:rFonts w:ascii="Arial" w:hAnsi="Arial" w:cs="Arial"/>
          <w:color w:val="1E1D1E"/>
          <w:sz w:val="23"/>
          <w:szCs w:val="23"/>
        </w:rPr>
        <w:t>ода.</w:t>
      </w:r>
      <w:r>
        <w:rPr>
          <w:rFonts w:ascii="Arial" w:hAnsi="Arial" w:cs="Arial"/>
          <w:color w:val="1E1D1E"/>
          <w:sz w:val="23"/>
          <w:szCs w:val="23"/>
        </w:rPr>
        <w:br/>
      </w:r>
    </w:p>
    <w:p w:rsidR="001C5CA3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b/>
          <w:bCs/>
          <w:color w:val="1E1D1E"/>
          <w:sz w:val="23"/>
          <w:szCs w:val="23"/>
        </w:rPr>
      </w:pPr>
      <w:r>
        <w:rPr>
          <w:rFonts w:ascii="Arial" w:hAnsi="Arial" w:cs="Arial"/>
          <w:b/>
          <w:bCs/>
          <w:color w:val="1E1D1E"/>
          <w:sz w:val="23"/>
          <w:szCs w:val="23"/>
        </w:rPr>
        <w:t>Что включает в себя понятие «отработанные ртутьсодержащие лампы»?</w:t>
      </w:r>
      <w:r>
        <w:rPr>
          <w:rFonts w:ascii="Arial" w:hAnsi="Arial" w:cs="Arial"/>
          <w:color w:val="1E1D1E"/>
          <w:sz w:val="23"/>
          <w:szCs w:val="23"/>
        </w:rPr>
        <w:br/>
        <w:t>Постановлением Правительства Российской Федерации от 28.12.2020 № 2314 утверждены «Правила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(далее – Правила).</w:t>
      </w:r>
      <w:r>
        <w:rPr>
          <w:rFonts w:ascii="Arial" w:hAnsi="Arial" w:cs="Arial"/>
          <w:color w:val="1E1D1E"/>
          <w:sz w:val="23"/>
          <w:szCs w:val="23"/>
        </w:rPr>
        <w:br/>
      </w:r>
      <w:proofErr w:type="gramStart"/>
      <w:r>
        <w:rPr>
          <w:rFonts w:ascii="Arial" w:hAnsi="Arial" w:cs="Arial"/>
          <w:color w:val="1E1D1E"/>
          <w:sz w:val="23"/>
          <w:szCs w:val="23"/>
        </w:rPr>
        <w:t xml:space="preserve">Согласно этим Правилам «отработанные ртутьсодержащие лампы»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паросветные</w:t>
      </w:r>
      <w:proofErr w:type="spellEnd"/>
      <w:r>
        <w:rPr>
          <w:rFonts w:ascii="Arial" w:hAnsi="Arial" w:cs="Arial"/>
          <w:color w:val="1E1D1E"/>
          <w:sz w:val="23"/>
          <w:szCs w:val="23"/>
        </w:rPr>
        <w:t>).</w:t>
      </w:r>
      <w:proofErr w:type="gramEnd"/>
      <w:r>
        <w:rPr>
          <w:rFonts w:ascii="Arial" w:hAnsi="Arial" w:cs="Arial"/>
          <w:color w:val="1E1D1E"/>
          <w:sz w:val="23"/>
          <w:szCs w:val="23"/>
        </w:rPr>
        <w:br/>
        <w:t>В соответствии с Федеральным классификационным каталогом отходов, утвержденным приказом Федеральной службы по надзору в сфере природопользования от 22.05.2017 № 242, отходы электрического оборудования, содержащего ртуть - Лампы ртутные, ртутно-кварцевые, люминесцентные, утратившие потребительские свойства, - имеют 1 класс опасности и относятся к чрезвычайно опасным отходам.</w:t>
      </w:r>
      <w:r>
        <w:rPr>
          <w:rFonts w:ascii="Arial" w:hAnsi="Arial" w:cs="Arial"/>
          <w:color w:val="1E1D1E"/>
          <w:sz w:val="23"/>
          <w:szCs w:val="23"/>
        </w:rPr>
        <w:br/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b/>
          <w:bCs/>
          <w:color w:val="1E1D1E"/>
          <w:sz w:val="23"/>
          <w:szCs w:val="23"/>
        </w:rPr>
        <w:t>Каким образом производится накопление отработанных ртутьсодержащих ламп?</w:t>
      </w:r>
      <w:r>
        <w:rPr>
          <w:rFonts w:ascii="Arial" w:hAnsi="Arial" w:cs="Arial"/>
          <w:color w:val="1E1D1E"/>
          <w:sz w:val="23"/>
          <w:szCs w:val="23"/>
        </w:rPr>
        <w:br/>
        <w:t>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  <w:r>
        <w:rPr>
          <w:rFonts w:ascii="Arial" w:hAnsi="Arial" w:cs="Arial"/>
          <w:color w:val="1E1D1E"/>
          <w:sz w:val="23"/>
          <w:szCs w:val="23"/>
        </w:rPr>
        <w:br/>
        <w:t>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  <w:r>
        <w:rPr>
          <w:rFonts w:ascii="Arial" w:hAnsi="Arial" w:cs="Arial"/>
          <w:color w:val="1E1D1E"/>
          <w:sz w:val="23"/>
          <w:szCs w:val="23"/>
        </w:rPr>
        <w:br/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b/>
          <w:bCs/>
          <w:color w:val="1E1D1E"/>
          <w:sz w:val="23"/>
          <w:szCs w:val="23"/>
        </w:rPr>
        <w:t> </w:t>
      </w:r>
      <w:bookmarkStart w:id="0" w:name="_GoBack"/>
      <w:bookmarkEnd w:id="0"/>
      <w:r>
        <w:rPr>
          <w:rFonts w:ascii="Arial" w:hAnsi="Arial" w:cs="Arial"/>
          <w:b/>
          <w:bCs/>
          <w:color w:val="1E1D1E"/>
          <w:sz w:val="23"/>
          <w:szCs w:val="23"/>
        </w:rPr>
        <w:t>Формирование экологической культуры в сфере обращения с ТКО 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Обращение с твердыми коммунальными отходами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При складировании отходов исходите из того, что можно, а что нельзя выносить на площадку накопления отходов: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lastRenderedPageBreak/>
        <w:t>1. </w:t>
      </w:r>
      <w:r>
        <w:rPr>
          <w:rFonts w:ascii="Arial" w:hAnsi="Arial" w:cs="Arial"/>
          <w:b/>
          <w:bCs/>
          <w:color w:val="1E1D1E"/>
          <w:sz w:val="23"/>
          <w:szCs w:val="23"/>
        </w:rPr>
        <w:t>Что МОЖНО выбрасывать в контейнеры для ТКО</w:t>
      </w:r>
      <w:r>
        <w:rPr>
          <w:rFonts w:ascii="Arial" w:hAnsi="Arial" w:cs="Arial"/>
          <w:color w:val="1E1D1E"/>
          <w:sz w:val="23"/>
          <w:szCs w:val="23"/>
        </w:rPr>
        <w:t>: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Отходы, которые образуются в жилых помещениях и у юридических лиц в процессе потребления физическими лицами, например: бумажные, пластиковые, стеклянные, металлические и другие материалы; пищевые отходы, которые образуются при приготовлении пищи; старую одежду и обувь.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Крупногабаритные отходы (КГО) – мебель, бытовая техника, отходы от текущего ремонта жилых помещений и др., размер которых не позволяет осуществить их складирование в контейнерах.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КГО вывозят спецтранспортом по отдельному графику, а размещать их нужно в специальном контейнере или на площадке для КГО, либо просто рядом с контейнерной площадкой.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2.      </w:t>
      </w:r>
      <w:r>
        <w:rPr>
          <w:rFonts w:ascii="Arial" w:hAnsi="Arial" w:cs="Arial"/>
          <w:b/>
          <w:bCs/>
          <w:color w:val="1E1D1E"/>
          <w:sz w:val="23"/>
          <w:szCs w:val="23"/>
        </w:rPr>
        <w:t>Что НЕЛЬЗЯ выбрасывать в контейнеры для ТКО: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Строительный мусор — битый кирпич, отходы бетона, отходы от сноса стен, разборки крыш, опор и оснований, железобетона.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Спилы деревьев, ветки и листву.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proofErr w:type="gramStart"/>
      <w:r>
        <w:rPr>
          <w:rFonts w:ascii="Arial" w:hAnsi="Arial" w:cs="Arial"/>
          <w:color w:val="1E1D1E"/>
          <w:sz w:val="23"/>
          <w:szCs w:val="23"/>
        </w:rPr>
        <w:t>Отходы I — III классов опасности (автопокрышки, ртутные термометры, аккумуляторы, масла, щелочи, кислоты, гальванические элементы, остатки рафинирования нефтесодержащих отходов, свинцовые опилки, кислые смолы, дизтопливо, навоз, помет и другие органические вещества, образующиеся в результате содержания сельскохозяйственных животных).</w:t>
      </w:r>
      <w:proofErr w:type="gramEnd"/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Зола, образуемая физическими лицами в результате эксплуатации печек и котельного оборудования.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За нарушение правил обращения с отходами, создание несанкционированных свалок, в том числе в местах накопления отходов гражданам грозит штраф до 5 </w:t>
      </w:r>
      <w:proofErr w:type="spellStart"/>
      <w:proofErr w:type="gramStart"/>
      <w:r>
        <w:rPr>
          <w:rFonts w:ascii="Arial" w:hAnsi="Arial" w:cs="Arial"/>
          <w:color w:val="1E1D1E"/>
          <w:sz w:val="23"/>
          <w:szCs w:val="23"/>
        </w:rPr>
        <w:t>тыс</w:t>
      </w:r>
      <w:proofErr w:type="spellEnd"/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рублей, юридическим лицам до 400 тыс. руб.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Соблюдайте правила обращения с 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отходами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и территория нашего района будет чище!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В</w:t>
      </w:r>
      <w:r>
        <w:rPr>
          <w:rFonts w:ascii="Arial" w:hAnsi="Arial" w:cs="Arial"/>
          <w:color w:val="1E1D1E"/>
          <w:sz w:val="23"/>
          <w:szCs w:val="23"/>
        </w:rPr>
        <w:t> </w:t>
      </w:r>
      <w:r>
        <w:rPr>
          <w:rFonts w:ascii="Arial" w:hAnsi="Arial" w:cs="Arial"/>
          <w:b/>
          <w:bCs/>
          <w:color w:val="1E1D1E"/>
          <w:sz w:val="23"/>
          <w:szCs w:val="23"/>
        </w:rPr>
        <w:t>Конституции Российской Федерации</w:t>
      </w:r>
      <w:r>
        <w:rPr>
          <w:rFonts w:ascii="Arial" w:hAnsi="Arial" w:cs="Arial"/>
          <w:color w:val="1E1D1E"/>
          <w:sz w:val="23"/>
          <w:szCs w:val="23"/>
        </w:rPr>
        <w:t> отражены основные положения экологической стратегии государства и главные направления укрепления экологического правопорядка. 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  <w:r>
        <w:rPr>
          <w:rFonts w:ascii="Arial" w:hAnsi="Arial" w:cs="Arial"/>
          <w:color w:val="1E1D1E"/>
          <w:sz w:val="23"/>
          <w:szCs w:val="23"/>
        </w:rPr>
        <w:br/>
        <w:t>Центральное место среди экологических норм 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  <w:r>
        <w:rPr>
          <w:rFonts w:ascii="Arial" w:hAnsi="Arial" w:cs="Arial"/>
          <w:color w:val="1E1D1E"/>
          <w:sz w:val="23"/>
          <w:szCs w:val="23"/>
        </w:rPr>
        <w:br/>
      </w:r>
      <w:proofErr w:type="gramStart"/>
      <w:r>
        <w:rPr>
          <w:rFonts w:ascii="Arial" w:hAnsi="Arial" w:cs="Arial"/>
          <w:color w:val="1E1D1E"/>
          <w:sz w:val="23"/>
          <w:szCs w:val="23"/>
        </w:rPr>
        <w:t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Первая касается биологических начал человека, вторая - его материальных основ существования.</w:t>
      </w:r>
      <w:r>
        <w:rPr>
          <w:rFonts w:ascii="Arial" w:hAnsi="Arial" w:cs="Arial"/>
          <w:color w:val="1E1D1E"/>
          <w:sz w:val="23"/>
          <w:szCs w:val="23"/>
        </w:rPr>
        <w:br/>
        <w:t xml:space="preserve">Конституция РФ также оформляет организационно-правовые взаимоотношения Федерации и субъектов Федерации. Согласно ст. 72 пользование, владение и </w:t>
      </w:r>
      <w:r>
        <w:rPr>
          <w:rFonts w:ascii="Arial" w:hAnsi="Arial" w:cs="Arial"/>
          <w:color w:val="1E1D1E"/>
          <w:sz w:val="23"/>
          <w:szCs w:val="23"/>
        </w:rPr>
        <w:lastRenderedPageBreak/>
        <w:t>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  <w:r>
        <w:rPr>
          <w:rFonts w:ascii="Arial" w:hAnsi="Arial" w:cs="Arial"/>
          <w:color w:val="1E1D1E"/>
          <w:sz w:val="23"/>
          <w:szCs w:val="23"/>
        </w:rPr>
        <w:br/>
        <w:t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РФ закрепляет общее правило: законы и иные правовые акты субъектов Федерации не должны противоречить федеральным законам. Положение Конституции РФ конкретизируется в источниках экологического права.</w:t>
      </w:r>
      <w:r>
        <w:rPr>
          <w:rFonts w:ascii="Arial" w:hAnsi="Arial" w:cs="Arial"/>
          <w:color w:val="1E1D1E"/>
          <w:sz w:val="23"/>
          <w:szCs w:val="23"/>
        </w:rPr>
        <w:br/>
      </w:r>
      <w:proofErr w:type="gramStart"/>
      <w:r>
        <w:rPr>
          <w:rFonts w:ascii="Arial" w:hAnsi="Arial" w:cs="Arial"/>
          <w:color w:val="1E1D1E"/>
          <w:sz w:val="23"/>
          <w:szCs w:val="23"/>
        </w:rPr>
        <w:t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  <w:proofErr w:type="gramEnd"/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В Законе закрепляются следующие правовые положения: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основы управления в области охраны окружающей среды;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права и обязанности граждан, общественных и иных некоммерческих объединений в области охраны окружающей среды;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экономическое регулирование в области охраны окружающей среды;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нормирование в области охраны окружающей среды;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оценка воздействия на окружающую среду и экологическая экспертиза;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требования в области охраны окружающей среды при осуществлении хозяйственной деятельности;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зоны экологического бедствия, зоны чрезвычайных ситуаций;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государственный мониторинг окружающей среды (государственный экологический мониторинг);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контроль в области охраны окружающей среды (экологический контроль);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научные исследования в области охраны окружающей среды;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основы формирования экологической культуры;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·         международное сотрудничество в области охраны окружающей среды.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Охрана здоровья и обеспечение благополучия человека -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-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Закона о захоронении, переработке, обезвреживании и утилизации производственных и бытовых отходов и </w:t>
      </w:r>
      <w:r>
        <w:rPr>
          <w:rFonts w:ascii="Arial" w:hAnsi="Arial" w:cs="Arial"/>
          <w:color w:val="1E1D1E"/>
          <w:sz w:val="23"/>
          <w:szCs w:val="23"/>
        </w:rPr>
        <w:lastRenderedPageBreak/>
        <w:t>т. д.</w:t>
      </w:r>
      <w:r>
        <w:rPr>
          <w:rFonts w:ascii="Arial" w:hAnsi="Arial" w:cs="Arial"/>
          <w:color w:val="1E1D1E"/>
          <w:sz w:val="23"/>
          <w:szCs w:val="23"/>
        </w:rPr>
        <w:br/>
        <w:t>Другим источником экологического права служат Федеральный закон «Об основах охраны здоровья граждан в Российской Федерации» от 21 ноября 2011 года № 323-ФЗ. В нем есть норма, обеспечивающая экологические права граждан. Так, ст. 18 говориться, что: « Каждый имеет право на охрану здоровья. Право на охрану здоровья обеспечивается охраной окружающей среды...»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Правовые нормы по охране природы и рациональному природопользованию содержатся и в других актах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природоресурсного</w:t>
      </w:r>
      <w:proofErr w:type="spellEnd"/>
      <w:r>
        <w:rPr>
          <w:rFonts w:ascii="Arial" w:hAnsi="Arial" w:cs="Arial"/>
          <w:color w:val="1E1D1E"/>
          <w:sz w:val="23"/>
          <w:szCs w:val="23"/>
        </w:rPr>
        <w:t xml:space="preserve"> законодательства России. К ним относятся Лесной кодекс РФ, Водный кодекс РФ, Федеральный закон «О животном мире» и др.</w:t>
      </w:r>
      <w:r>
        <w:rPr>
          <w:rFonts w:ascii="Arial" w:hAnsi="Arial" w:cs="Arial"/>
          <w:color w:val="1E1D1E"/>
          <w:sz w:val="23"/>
          <w:szCs w:val="23"/>
        </w:rPr>
        <w:br/>
        <w:t>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распоряжения, отвечая также за их исполнение. Постановление Правительства РФ также является нормативно-правовым актом.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  <w:r>
        <w:rPr>
          <w:rFonts w:ascii="Arial" w:hAnsi="Arial" w:cs="Arial"/>
          <w:color w:val="1E1D1E"/>
          <w:sz w:val="23"/>
          <w:szCs w:val="23"/>
        </w:rPr>
        <w:br/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  <w:r>
        <w:rPr>
          <w:rFonts w:ascii="Arial" w:hAnsi="Arial" w:cs="Arial"/>
          <w:color w:val="1E1D1E"/>
          <w:sz w:val="23"/>
          <w:szCs w:val="23"/>
        </w:rPr>
        <w:br/>
        <w:t>Немаловажную роль играют нормативные правила -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 Акты вступают в силу только после регистрации в Министерстве юстиции и публикации в газете «Российские вести».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 xml:space="preserve">Сфера компетенции субъектов Федерации определяется отраслевыми законодательными актами: по землепользованию - Земельным кодексом РФ, по недрам - Законом РФ «О недрах», водопользованию - Водным кодексом РФ, по использованию животного мира - Федеральным законом «О животном мире», по окружающей природной среде - Федеральным законом «Об охране окружающей среды».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РФ о федеральных ресурсах. Конституция РФ (ст. 76) устанавливает законы и иные нормативные правовые акты субъектов Федерации не должны противоречить Конституции РФ и федеральным 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РФ. Помимо специальных нормативно-правовых актов экологического содержания в последние годы широко используется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экологизация</w:t>
      </w:r>
      <w:proofErr w:type="spellEnd"/>
      <w:r>
        <w:rPr>
          <w:rFonts w:ascii="Arial" w:hAnsi="Arial" w:cs="Arial"/>
          <w:color w:val="1E1D1E"/>
          <w:sz w:val="23"/>
          <w:szCs w:val="23"/>
        </w:rPr>
        <w:t xml:space="preserve"> нормативных актов, регулирующих экономическую, хозяйственную и административную деятельность предприятий. Под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экологизацией</w:t>
      </w:r>
      <w:proofErr w:type="spellEnd"/>
      <w:r>
        <w:rPr>
          <w:rFonts w:ascii="Arial" w:hAnsi="Arial" w:cs="Arial"/>
          <w:color w:val="1E1D1E"/>
          <w:sz w:val="23"/>
          <w:szCs w:val="23"/>
        </w:rPr>
        <w:t xml:space="preserve">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Указом Президента РФ от 19.04.2017 №176 утверждена Стратегия экологической безопасности России на период до 2025 года. 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  <w:r>
        <w:rPr>
          <w:rFonts w:ascii="Arial" w:hAnsi="Arial" w:cs="Arial"/>
          <w:color w:val="1E1D1E"/>
          <w:sz w:val="23"/>
          <w:szCs w:val="23"/>
        </w:rPr>
        <w:br/>
      </w:r>
      <w:r>
        <w:rPr>
          <w:rFonts w:ascii="Arial" w:hAnsi="Arial" w:cs="Arial"/>
          <w:color w:val="1E1D1E"/>
          <w:sz w:val="23"/>
          <w:szCs w:val="23"/>
        </w:rPr>
        <w:lastRenderedPageBreak/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  <w:r>
        <w:rPr>
          <w:rFonts w:ascii="Arial" w:hAnsi="Arial" w:cs="Arial"/>
          <w:color w:val="1E1D1E"/>
          <w:sz w:val="23"/>
          <w:szCs w:val="23"/>
        </w:rPr>
        <w:br/>
        <w:t>- формирование системы технического регулирования, содержащей требования экологической и промышленной безопасности;</w:t>
      </w:r>
      <w:r>
        <w:rPr>
          <w:rFonts w:ascii="Arial" w:hAnsi="Arial" w:cs="Arial"/>
          <w:color w:val="1E1D1E"/>
          <w:sz w:val="23"/>
          <w:szCs w:val="23"/>
        </w:rPr>
        <w:br/>
        <w:t>- лицензирование видов деятельности, потенциально опасных для окружающей среды, жизни и здоровья людей;</w:t>
      </w:r>
      <w:r>
        <w:rPr>
          <w:rFonts w:ascii="Arial" w:hAnsi="Arial" w:cs="Arial"/>
          <w:color w:val="1E1D1E"/>
          <w:sz w:val="23"/>
          <w:szCs w:val="23"/>
        </w:rPr>
        <w:br/>
        <w:t>- нормирование и разрешительная деятельность в области охраны окружающей среды;</w:t>
      </w:r>
      <w:r>
        <w:rPr>
          <w:rFonts w:ascii="Arial" w:hAnsi="Arial" w:cs="Arial"/>
          <w:color w:val="1E1D1E"/>
          <w:sz w:val="23"/>
          <w:szCs w:val="23"/>
        </w:rPr>
        <w:br/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proofErr w:type="gramStart"/>
      <w:r>
        <w:rPr>
          <w:rFonts w:ascii="Arial" w:hAnsi="Arial" w:cs="Arial"/>
          <w:color w:val="1E1D1E"/>
          <w:sz w:val="23"/>
          <w:szCs w:val="23"/>
        </w:rPr>
        <w:t>- государственный санитарно-эпидемиологический надзор и социально-гигиенический мониторинг;</w:t>
      </w:r>
      <w:r>
        <w:rPr>
          <w:rFonts w:ascii="Arial" w:hAnsi="Arial" w:cs="Arial"/>
          <w:color w:val="1E1D1E"/>
          <w:sz w:val="23"/>
          <w:szCs w:val="23"/>
        </w:rPr>
        <w:br/>
        <w:t>- создание системы экологического аудита;</w:t>
      </w:r>
      <w:r>
        <w:rPr>
          <w:rFonts w:ascii="Arial" w:hAnsi="Arial" w:cs="Arial"/>
          <w:color w:val="1E1D1E"/>
          <w:sz w:val="23"/>
          <w:szCs w:val="23"/>
        </w:rPr>
        <w:br/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  <w:proofErr w:type="gramEnd"/>
      <w:r>
        <w:rPr>
          <w:rFonts w:ascii="Arial" w:hAnsi="Arial" w:cs="Arial"/>
          <w:color w:val="1E1D1E"/>
          <w:sz w:val="23"/>
          <w:szCs w:val="23"/>
        </w:rPr>
        <w:br/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  <w:r>
        <w:rPr>
          <w:rFonts w:ascii="Arial" w:hAnsi="Arial" w:cs="Arial"/>
          <w:color w:val="1E1D1E"/>
          <w:sz w:val="23"/>
          <w:szCs w:val="23"/>
        </w:rPr>
        <w:br/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br/>
      </w:r>
      <w:r>
        <w:rPr>
          <w:rFonts w:ascii="Arial" w:hAnsi="Arial" w:cs="Arial"/>
          <w:b/>
          <w:bCs/>
          <w:color w:val="1E1D1E"/>
          <w:sz w:val="23"/>
          <w:szCs w:val="23"/>
        </w:rPr>
        <w:t>В природоохранное законодательство входят: 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Федеральный закон от 10 января 2002 г. № 7-ФЗ «Об охране окружающей среды» и другие законодательные акты комплексного правового регулирования.</w:t>
      </w:r>
      <w:r>
        <w:rPr>
          <w:rFonts w:ascii="Arial" w:hAnsi="Arial" w:cs="Arial"/>
          <w:color w:val="1E1D1E"/>
          <w:sz w:val="23"/>
          <w:szCs w:val="23"/>
        </w:rPr>
        <w:br/>
        <w:t xml:space="preserve">В подсистему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природоресурсного</w:t>
      </w:r>
      <w:proofErr w:type="spellEnd"/>
      <w:r>
        <w:rPr>
          <w:rFonts w:ascii="Arial" w:hAnsi="Arial" w:cs="Arial"/>
          <w:color w:val="1E1D1E"/>
          <w:sz w:val="23"/>
          <w:szCs w:val="23"/>
        </w:rPr>
        <w:t xml:space="preserve"> законодательства входят:</w:t>
      </w:r>
      <w:r>
        <w:rPr>
          <w:rFonts w:ascii="Arial" w:hAnsi="Arial" w:cs="Arial"/>
          <w:color w:val="1E1D1E"/>
          <w:sz w:val="23"/>
          <w:szCs w:val="23"/>
        </w:rPr>
        <w:br/>
        <w:t>Земельный кодекс РФ (ФЗ № 136 от 25.10.2001 г.),</w:t>
      </w:r>
      <w:r>
        <w:rPr>
          <w:rFonts w:ascii="Arial" w:hAnsi="Arial" w:cs="Arial"/>
          <w:color w:val="1E1D1E"/>
          <w:sz w:val="23"/>
          <w:szCs w:val="23"/>
        </w:rPr>
        <w:br/>
        <w:t>Закон РФ от 21 февраля 1992 г. № 2395-1 «О недрах»,</w:t>
      </w:r>
      <w:r>
        <w:rPr>
          <w:rFonts w:ascii="Arial" w:hAnsi="Arial" w:cs="Arial"/>
          <w:color w:val="1E1D1E"/>
          <w:sz w:val="23"/>
          <w:szCs w:val="23"/>
        </w:rPr>
        <w:br/>
        <w:t>Лесной кодекс РФ (ФЗ № 200 от 04.12.2006 г.),</w:t>
      </w:r>
      <w:r>
        <w:rPr>
          <w:rFonts w:ascii="Arial" w:hAnsi="Arial" w:cs="Arial"/>
          <w:color w:val="1E1D1E"/>
          <w:sz w:val="23"/>
          <w:szCs w:val="23"/>
        </w:rPr>
        <w:br/>
        <w:t>Водный кодекс Р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Ф(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ФЗ № 74 от 03.06.2006 г.),</w:t>
      </w:r>
      <w:r>
        <w:rPr>
          <w:rFonts w:ascii="Arial" w:hAnsi="Arial" w:cs="Arial"/>
          <w:color w:val="1E1D1E"/>
          <w:sz w:val="23"/>
          <w:szCs w:val="23"/>
        </w:rPr>
        <w:br/>
        <w:t>Федеральный закон от 24 апреля 1995 г. № 52-ФЗ «О животном мире», а также другие законодательные и нормативные акты субъектов РФ.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Информация об экологических сайтах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proofErr w:type="spellStart"/>
      <w:r>
        <w:rPr>
          <w:rFonts w:ascii="Arial" w:hAnsi="Arial" w:cs="Arial"/>
          <w:color w:val="1E1D1E"/>
          <w:sz w:val="23"/>
          <w:szCs w:val="23"/>
        </w:rPr>
        <w:t>Ecocom</w:t>
      </w:r>
      <w:proofErr w:type="spellEnd"/>
      <w:r>
        <w:rPr>
          <w:rFonts w:ascii="Arial" w:hAnsi="Arial" w:cs="Arial"/>
          <w:color w:val="1E1D1E"/>
          <w:sz w:val="23"/>
          <w:szCs w:val="23"/>
        </w:rPr>
        <w:t xml:space="preserve"> - все об экологии</w:t>
      </w:r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5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http://www.ecocommunity.ru/</w:t>
        </w:r>
      </w:hyperlink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FacePla.net - экологический дайджест позитивной информации об экологии и технологии</w:t>
      </w:r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6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http://facepla.net/</w:t>
        </w:r>
      </w:hyperlink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Saveplanet.su - «Сохраним планету»</w:t>
      </w:r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7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http://www.saveplanet.su/</w:t>
        </w:r>
      </w:hyperlink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lastRenderedPageBreak/>
        <w:t>Всемирный фонд дикой природы (WWF)</w:t>
      </w:r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8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http://wwf.panda.org/</w:t>
        </w:r>
      </w:hyperlink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Гринпис России</w:t>
      </w:r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9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http://www.greenpeace.org/russia/ru</w:t>
        </w:r>
      </w:hyperlink>
      <w:r w:rsidR="003862ED">
        <w:rPr>
          <w:rFonts w:ascii="Arial" w:hAnsi="Arial" w:cs="Arial"/>
          <w:color w:val="1E1D1E"/>
          <w:sz w:val="23"/>
          <w:szCs w:val="23"/>
        </w:rPr>
        <w:t>/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Министерство природных ресурсов России</w:t>
      </w:r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10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http://www.mnr.gov.ru/</w:t>
        </w:r>
      </w:hyperlink>
      <w:r w:rsidR="003862ED">
        <w:rPr>
          <w:rFonts w:ascii="Arial" w:hAnsi="Arial" w:cs="Arial"/>
          <w:color w:val="1E1D1E"/>
          <w:sz w:val="23"/>
          <w:szCs w:val="23"/>
        </w:rPr>
        <w:t> </w:t>
      </w:r>
      <w:r w:rsidR="003862ED">
        <w:rPr>
          <w:rFonts w:ascii="Arial" w:hAnsi="Arial" w:cs="Arial"/>
          <w:color w:val="1E1D1E"/>
          <w:sz w:val="23"/>
          <w:szCs w:val="23"/>
        </w:rPr>
        <w:br/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Уважаемые жители! Берегите природу и ее экологическое состояние</w:t>
      </w:r>
      <w:proofErr w:type="gramStart"/>
      <w:r>
        <w:rPr>
          <w:rFonts w:ascii="Arial" w:hAnsi="Arial" w:cs="Arial"/>
          <w:color w:val="1E1D1E"/>
          <w:sz w:val="23"/>
          <w:szCs w:val="23"/>
        </w:rPr>
        <w:t xml:space="preserve"> !</w:t>
      </w:r>
      <w:proofErr w:type="gramEnd"/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b/>
          <w:bCs/>
          <w:color w:val="1E1D1E"/>
          <w:sz w:val="23"/>
          <w:szCs w:val="23"/>
        </w:rPr>
        <w:t>ЗАКОНОДАТЕЛЬНЫЕ АКТЫ РОССИЙСКОЙ ФЕДЕРАЦИИ</w:t>
      </w:r>
      <w:r>
        <w:rPr>
          <w:rFonts w:ascii="Arial" w:hAnsi="Arial" w:cs="Arial"/>
          <w:color w:val="1E1D1E"/>
          <w:sz w:val="23"/>
          <w:szCs w:val="23"/>
        </w:rPr>
        <w:t> </w:t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в сфере охраны окружающей среды                                                                                                     </w:t>
      </w:r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11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</w:rPr>
          <w:t>Об охране окружающей среды Федеральный закон от 10 января 2002 г. № 7-ФЗ</w:t>
        </w:r>
      </w:hyperlink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12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Об охране атмосферного воздуха Федеральный закон от 04 мая 1999г. № 96-ФЗ</w:t>
        </w:r>
      </w:hyperlink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13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Земельный кодекс Российской Федерации Федеральный закон от 25 октября 2001 г. № 136-ФЗ</w:t>
        </w:r>
      </w:hyperlink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14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Водный кодекс Российской Федерации Федеральный закон от 03 июня 2006 г. № 74-ФЗ</w:t>
        </w:r>
      </w:hyperlink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15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О недрах (в редакции Федерального закона от 3 марта 1995 г № 27- ФЗ) Закон Российской Федерации от 21 февраля 1992 г. № 2395-1</w:t>
        </w:r>
      </w:hyperlink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16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Об отходах производства и потребления Федеральный закон от 24 июня 1998 г. № 89-ФЗ</w:t>
        </w:r>
      </w:hyperlink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17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Об экологической экспертизе Федеральный закон от 23 ноября 1995 г. № 174-ФЗ</w:t>
        </w:r>
      </w:hyperlink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18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О санитарно-эпидемиологическом благополучии населения Федеральный закон от 30 марта 1999 № 52-ФЗ</w:t>
        </w:r>
      </w:hyperlink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19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Об особо охраняемых природных территориях Федеральный закон от 14 марта 1995 г. № 33-ФЗ</w:t>
        </w:r>
      </w:hyperlink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20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Лесной кодекс Российской Федерации Федеральный закон от 04 декабря 2006 г. № 200-ФЗ</w:t>
        </w:r>
      </w:hyperlink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21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Экологическое просвещение</w:t>
        </w:r>
      </w:hyperlink>
    </w:p>
    <w:p w:rsidR="003862ED" w:rsidRDefault="00D6080A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hyperlink r:id="rId22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Информация о состоянии окружающей среды и об использовании природных ресурсов</w:t>
        </w:r>
      </w:hyperlink>
    </w:p>
    <w:p w:rsidR="0053750E" w:rsidRDefault="00D6080A" w:rsidP="001C5CA3">
      <w:pPr>
        <w:pStyle w:val="a3"/>
        <w:shd w:val="clear" w:color="auto" w:fill="FFFFFF"/>
        <w:spacing w:before="0" w:beforeAutospacing="0" w:after="180" w:afterAutospacing="0"/>
      </w:pPr>
      <w:hyperlink r:id="rId23" w:history="1"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 xml:space="preserve">ПОСТАНОВЛЕНИЕ № </w:t>
        </w:r>
        <w:r w:rsidR="00F124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4 - 11</w:t>
        </w:r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.0</w:t>
        </w:r>
        <w:r w:rsidR="00F124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1</w:t>
        </w:r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.202</w:t>
        </w:r>
        <w:r w:rsidR="00F124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 xml:space="preserve">4 </w:t>
        </w:r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 xml:space="preserve">г. </w:t>
        </w:r>
        <w:r w:rsidR="00F124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«</w:t>
        </w:r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 xml:space="preserve"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</w:t>
        </w:r>
        <w:proofErr w:type="spellStart"/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с.п</w:t>
        </w:r>
        <w:proofErr w:type="spellEnd"/>
        <w:r w:rsidR="003862ED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 xml:space="preserve">. </w:t>
        </w:r>
        <w:r w:rsidR="001C5CA3">
          <w:rPr>
            <w:rStyle w:val="a5"/>
            <w:rFonts w:ascii="Arial" w:hAnsi="Arial" w:cs="Arial"/>
            <w:color w:val="2082C7"/>
            <w:sz w:val="23"/>
            <w:szCs w:val="23"/>
            <w:u w:val="none"/>
          </w:rPr>
          <w:t>Красноармейское</w:t>
        </w:r>
      </w:hyperlink>
      <w:r w:rsidR="00F124ED">
        <w:rPr>
          <w:rStyle w:val="a5"/>
          <w:rFonts w:ascii="Arial" w:hAnsi="Arial" w:cs="Arial"/>
          <w:color w:val="2082C7"/>
          <w:sz w:val="23"/>
          <w:szCs w:val="23"/>
          <w:u w:val="none"/>
        </w:rPr>
        <w:t>»</w:t>
      </w:r>
    </w:p>
    <w:sectPr w:rsidR="0053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ED"/>
    <w:rsid w:val="001C5CA3"/>
    <w:rsid w:val="003862ED"/>
    <w:rsid w:val="0053750E"/>
    <w:rsid w:val="00D6080A"/>
    <w:rsid w:val="00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2ED"/>
    <w:rPr>
      <w:b/>
      <w:bCs/>
    </w:rPr>
  </w:style>
  <w:style w:type="character" w:styleId="a5">
    <w:name w:val="Hyperlink"/>
    <w:basedOn w:val="a0"/>
    <w:uiPriority w:val="99"/>
    <w:semiHidden/>
    <w:unhideWhenUsed/>
    <w:rsid w:val="00386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2ED"/>
    <w:rPr>
      <w:b/>
      <w:bCs/>
    </w:rPr>
  </w:style>
  <w:style w:type="character" w:styleId="a5">
    <w:name w:val="Hyperlink"/>
    <w:basedOn w:val="a0"/>
    <w:uiPriority w:val="99"/>
    <w:semiHidden/>
    <w:unhideWhenUsed/>
    <w:rsid w:val="00386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f.panda.org/" TargetMode="External"/><Relationship Id="rId13" Type="http://schemas.openxmlformats.org/officeDocument/2006/relationships/hyperlink" Target="http://adm-nbalkaria.ru/images/zem_kod_25.10.2001__136.docx" TargetMode="External"/><Relationship Id="rId18" Type="http://schemas.openxmlformats.org/officeDocument/2006/relationships/hyperlink" Target="http://adm-nbalkaria.ru/images/o_san_bl_nas_30.03.1999__5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m-nbalkaria.ru/images/ekol_pros.docx" TargetMode="External"/><Relationship Id="rId7" Type="http://schemas.openxmlformats.org/officeDocument/2006/relationships/hyperlink" Target="http://www.saveplanet.su/" TargetMode="External"/><Relationship Id="rId12" Type="http://schemas.openxmlformats.org/officeDocument/2006/relationships/hyperlink" Target="http://adm-nbalkaria.ru/images/ohrana_atmosfernogo_voz_04.05._1999__96.docx" TargetMode="External"/><Relationship Id="rId17" Type="http://schemas.openxmlformats.org/officeDocument/2006/relationships/hyperlink" Target="http://adm-nbalkaria.ru/images/%D0%9Eob_ekol_eksp_23.11.1995__174.docx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adm-nbalkaria.ru/images/ob_othodah_proiz_24.06.1998__89.docx" TargetMode="External"/><Relationship Id="rId20" Type="http://schemas.openxmlformats.org/officeDocument/2006/relationships/hyperlink" Target="http://adm-nbalkaria.ru/images/lesnoi_kodeks_04.12.2006_N_200.rtf" TargetMode="External"/><Relationship Id="rId1" Type="http://schemas.openxmlformats.org/officeDocument/2006/relationships/styles" Target="styles.xml"/><Relationship Id="rId6" Type="http://schemas.openxmlformats.org/officeDocument/2006/relationships/hyperlink" Target="http://facepla.net/" TargetMode="External"/><Relationship Id="rId11" Type="http://schemas.openxmlformats.org/officeDocument/2006/relationships/hyperlink" Target="http://adm-nbalkaria.ru/images/ob_ohrane_ok_sredy_10.01.2002__7.doc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ecocommunity.ru/" TargetMode="External"/><Relationship Id="rId15" Type="http://schemas.openxmlformats.org/officeDocument/2006/relationships/hyperlink" Target="http://adm-nbalkaria.ru/images/O_nedrah_3.03.1995_%D0%B3__27.docx" TargetMode="External"/><Relationship Id="rId23" Type="http://schemas.openxmlformats.org/officeDocument/2006/relationships/hyperlink" Target="http://adm-nbalkaria.ru/images/pos__2_a_ek_vos_.doc" TargetMode="External"/><Relationship Id="rId10" Type="http://schemas.openxmlformats.org/officeDocument/2006/relationships/hyperlink" Target="http://www.mnr.gov.ru/" TargetMode="External"/><Relationship Id="rId19" Type="http://schemas.openxmlformats.org/officeDocument/2006/relationships/hyperlink" Target="http://adm-nbalkaria.ru/images/ohr_ter_14.03.1995_3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eenpeace.org/russia/ru" TargetMode="External"/><Relationship Id="rId14" Type="http://schemas.openxmlformats.org/officeDocument/2006/relationships/hyperlink" Target="http://adm-nbalkaria.ru/images/vod_kod_03.06.2006__74.docx" TargetMode="External"/><Relationship Id="rId22" Type="http://schemas.openxmlformats.org/officeDocument/2006/relationships/hyperlink" Target="http://adm-nbalkaria.ru/images/ok.sreda_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4115</Words>
  <Characters>23457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Krasnoarm</dc:creator>
  <cp:lastModifiedBy>Krasnoarm</cp:lastModifiedBy>
  <cp:revision>4</cp:revision>
  <dcterms:created xsi:type="dcterms:W3CDTF">2025-01-31T08:20:00Z</dcterms:created>
  <dcterms:modified xsi:type="dcterms:W3CDTF">2025-01-31T09:28:00Z</dcterms:modified>
</cp:coreProperties>
</file>